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20"/>
        <w:jc w:val="center"/>
        <w:rPr>
          <w:rFonts w:ascii="Times New Roman" w:hAnsi="Times New Roman" w:eastAsia="仿宋" w:cs="楷体"/>
          <w:szCs w:val="32"/>
        </w:rPr>
      </w:pPr>
      <w:r>
        <w:rPr>
          <w:rFonts w:hint="eastAsia" w:ascii="Times New Roman" w:hAnsi="Times New Roman" w:eastAsia="仿宋" w:cs="楷体"/>
          <w:szCs w:val="32"/>
        </w:rPr>
        <w:t>复审审查申请表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1501"/>
        <w:gridCol w:w="771"/>
        <w:gridCol w:w="1138"/>
        <w:gridCol w:w="1757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6913" w:type="dxa"/>
            <w:gridSpan w:val="5"/>
            <w:vAlign w:val="center"/>
          </w:tcPr>
          <w:p>
            <w:pPr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临床研究类别</w:t>
            </w:r>
          </w:p>
        </w:tc>
        <w:tc>
          <w:tcPr>
            <w:tcW w:w="6913" w:type="dxa"/>
            <w:gridSpan w:val="5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 xml:space="preserve">药物注册临床试验          </w:t>
            </w:r>
            <w:r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医疗器械注册临床试验</w:t>
            </w:r>
          </w:p>
          <w:p>
            <w:pPr>
              <w:spacing w:line="360" w:lineRule="auto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 xml:space="preserve">申办方发起的非注册性临床研究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申办方</w:t>
            </w:r>
          </w:p>
        </w:tc>
        <w:tc>
          <w:tcPr>
            <w:tcW w:w="691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691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pacing w:val="20"/>
                <w:sz w:val="24"/>
                <w:szCs w:val="24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专业组</w:t>
            </w:r>
          </w:p>
        </w:tc>
        <w:tc>
          <w:tcPr>
            <w:tcW w:w="691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递交资料及版本号</w:t>
            </w:r>
          </w:p>
        </w:tc>
        <w:tc>
          <w:tcPr>
            <w:tcW w:w="691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详见复审审查送审文件清单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  <w:jc w:val="center"/>
        </w:trPr>
        <w:tc>
          <w:tcPr>
            <w:tcW w:w="9286" w:type="dxa"/>
            <w:gridSpan w:val="6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  <w:t>修正情况一览表</w:t>
            </w: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（可另页附“修正一览表”）</w:t>
            </w:r>
          </w:p>
          <w:p>
            <w:pPr>
              <w:spacing w:line="360" w:lineRule="auto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修改前版本号与日期：                   修改后版本号与日期：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页数及行数（改前）/</w:t>
            </w:r>
          </w:p>
          <w:p>
            <w:pPr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页数及行数（改后）</w:t>
            </w: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临床试验伦理审查委员会的意见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修改类型</w:t>
            </w: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修改前的内容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bCs/>
                <w:color w:val="000000"/>
                <w:sz w:val="24"/>
                <w:szCs w:val="24"/>
              </w:rPr>
              <w:t>修改后的内容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仿宋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gridSpan w:val="2"/>
            <w:vAlign w:val="center"/>
          </w:tcPr>
          <w:p>
            <w:pPr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Times New Roman" w:hAnsi="Times New Roman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4645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z w:val="24"/>
                <w:szCs w:val="24"/>
              </w:rPr>
              <w:t>主要研究者</w:t>
            </w:r>
            <w:r>
              <w:rPr>
                <w:rFonts w:hint="eastAsia" w:ascii="Times New Roman" w:hAnsi="Times New Roman" w:eastAsia="仿宋" w:cs="仿宋"/>
                <w:color w:val="000000"/>
                <w:spacing w:val="20"/>
                <w:sz w:val="24"/>
                <w:szCs w:val="24"/>
              </w:rPr>
              <w:t>签名：</w:t>
            </w:r>
          </w:p>
        </w:tc>
        <w:tc>
          <w:tcPr>
            <w:tcW w:w="4641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color w:val="000000"/>
                <w:spacing w:val="20"/>
                <w:sz w:val="24"/>
                <w:szCs w:val="24"/>
              </w:rPr>
              <w:t>签名日期：</w:t>
            </w:r>
          </w:p>
        </w:tc>
      </w:tr>
    </w:tbl>
    <w:p>
      <w:pPr>
        <w:spacing w:after="156" w:afterLines="50"/>
        <w:rPr>
          <w:rFonts w:ascii="Times New Roman" w:hAnsi="Times New Roman" w:eastAsia="仿宋" w:cs="仿宋"/>
          <w:color w:val="000000"/>
          <w:szCs w:val="21"/>
        </w:rPr>
      </w:pPr>
    </w:p>
    <w:p>
      <w:pPr>
        <w:spacing w:after="156" w:afterLines="50"/>
        <w:rPr>
          <w:rFonts w:ascii="Times New Roman" w:hAnsi="Times New Roman" w:eastAsia="仿宋" w:cs="仿宋"/>
          <w:bCs/>
          <w:color w:val="000000"/>
          <w:szCs w:val="21"/>
        </w:rPr>
      </w:pPr>
      <w:r>
        <w:rPr>
          <w:rFonts w:hint="eastAsia" w:ascii="Times New Roman" w:hAnsi="Times New Roman" w:eastAsia="仿宋" w:cs="仿宋"/>
          <w:color w:val="000000"/>
          <w:szCs w:val="21"/>
        </w:rPr>
        <w:t>注：</w:t>
      </w:r>
      <w:r>
        <w:rPr>
          <w:rFonts w:hint="eastAsia" w:ascii="Times New Roman" w:hAnsi="Times New Roman" w:eastAsia="仿宋" w:cs="仿宋"/>
          <w:szCs w:val="21"/>
        </w:rPr>
        <w:t>修改类型请</w:t>
      </w:r>
      <w:r>
        <w:rPr>
          <w:rFonts w:hint="eastAsia" w:ascii="Times New Roman" w:hAnsi="Times New Roman" w:eastAsia="仿宋" w:cs="仿宋"/>
          <w:color w:val="000000"/>
          <w:szCs w:val="21"/>
        </w:rPr>
        <w:t>填写“</w:t>
      </w:r>
      <w:r>
        <w:rPr>
          <w:rFonts w:hint="eastAsia" w:ascii="Times New Roman" w:hAnsi="Times New Roman" w:eastAsia="仿宋" w:cs="仿宋"/>
          <w:bCs/>
          <w:color w:val="000000"/>
          <w:szCs w:val="21"/>
        </w:rPr>
        <w:t>完全根据意见修改</w:t>
      </w:r>
      <w:r>
        <w:rPr>
          <w:rFonts w:hint="eastAsia" w:ascii="Times New Roman" w:hAnsi="Times New Roman" w:eastAsia="仿宋" w:cs="仿宋"/>
          <w:color w:val="000000"/>
          <w:szCs w:val="21"/>
        </w:rPr>
        <w:t>”或“</w:t>
      </w:r>
      <w:r>
        <w:rPr>
          <w:rFonts w:hint="eastAsia" w:ascii="Times New Roman" w:hAnsi="Times New Roman" w:eastAsia="仿宋" w:cs="仿宋"/>
          <w:bCs/>
          <w:color w:val="000000"/>
          <w:szCs w:val="21"/>
        </w:rPr>
        <w:t>参考意见修改</w:t>
      </w:r>
      <w:r>
        <w:rPr>
          <w:rFonts w:hint="eastAsia" w:ascii="Times New Roman" w:hAnsi="Times New Roman" w:eastAsia="仿宋" w:cs="仿宋"/>
          <w:color w:val="000000"/>
          <w:szCs w:val="21"/>
        </w:rPr>
        <w:t>”或“</w:t>
      </w:r>
      <w:r>
        <w:rPr>
          <w:rFonts w:hint="eastAsia" w:ascii="Times New Roman" w:hAnsi="Times New Roman" w:eastAsia="仿宋" w:cs="仿宋"/>
          <w:bCs/>
          <w:color w:val="000000"/>
          <w:szCs w:val="21"/>
        </w:rPr>
        <w:t>未根据意见修改”，对于“未根据意见修改”的请予以解释说明并提供佐证材料 。</w:t>
      </w:r>
    </w:p>
    <w:p/>
    <w:p>
      <w:pPr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附件</w:t>
      </w:r>
    </w:p>
    <w:p>
      <w:pPr>
        <w:spacing w:line="360" w:lineRule="auto"/>
        <w:jc w:val="center"/>
        <w:rPr>
          <w:sz w:val="28"/>
          <w:szCs w:val="32"/>
        </w:rPr>
      </w:pPr>
      <w:r>
        <w:rPr>
          <w:rFonts w:hint="eastAsia" w:ascii="Times New Roman" w:hAnsi="Times New Roman" w:eastAsia="仿宋" w:cs="楷体"/>
          <w:sz w:val="28"/>
          <w:szCs w:val="44"/>
        </w:rPr>
        <w:t>复审审查送审文件清单</w:t>
      </w:r>
    </w:p>
    <w:tbl>
      <w:tblPr>
        <w:tblStyle w:val="5"/>
        <w:tblW w:w="8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932"/>
        <w:gridCol w:w="469"/>
        <w:gridCol w:w="485"/>
        <w:gridCol w:w="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7" w:hRule="atLeast"/>
          <w:jc w:val="center"/>
        </w:trPr>
        <w:tc>
          <w:tcPr>
            <w:tcW w:w="757" w:type="dxa"/>
          </w:tcPr>
          <w:p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5932" w:type="dxa"/>
          </w:tcPr>
          <w:p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类型</w:t>
            </w:r>
          </w:p>
        </w:tc>
        <w:tc>
          <w:tcPr>
            <w:tcW w:w="469" w:type="dxa"/>
          </w:tcPr>
          <w:p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有</w:t>
            </w:r>
          </w:p>
        </w:tc>
        <w:tc>
          <w:tcPr>
            <w:tcW w:w="485" w:type="dxa"/>
          </w:tcPr>
          <w:p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无</w:t>
            </w:r>
          </w:p>
        </w:tc>
        <w:tc>
          <w:tcPr>
            <w:tcW w:w="979" w:type="dxa"/>
          </w:tcPr>
          <w:p>
            <w:pPr>
              <w:spacing w:line="360" w:lineRule="auto"/>
              <w:jc w:val="center"/>
              <w:rPr>
                <w:rFonts w:eastAsia="仿宋" w:cs="仿宋"/>
                <w:b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7" w:hRule="atLeast"/>
          <w:jc w:val="center"/>
        </w:trPr>
        <w:tc>
          <w:tcPr>
            <w:tcW w:w="757" w:type="dxa"/>
            <w:vAlign w:val="center"/>
          </w:tcPr>
          <w:p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1</w:t>
            </w:r>
          </w:p>
        </w:tc>
        <w:tc>
          <w:tcPr>
            <w:tcW w:w="5932" w:type="dxa"/>
          </w:tcPr>
          <w:p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递交信（如有，注明递交文件的版本号和版本日期，PI签署姓名与日期）</w:t>
            </w:r>
          </w:p>
        </w:tc>
        <w:tc>
          <w:tcPr>
            <w:tcW w:w="46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7" w:type="dxa"/>
            <w:vAlign w:val="center"/>
          </w:tcPr>
          <w:p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2</w:t>
            </w:r>
          </w:p>
        </w:tc>
        <w:tc>
          <w:tcPr>
            <w:tcW w:w="5932" w:type="dxa"/>
          </w:tcPr>
          <w:p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复审审查申请表（PI签署姓名与日期）</w:t>
            </w:r>
          </w:p>
        </w:tc>
        <w:tc>
          <w:tcPr>
            <w:tcW w:w="46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7" w:type="dxa"/>
            <w:vAlign w:val="center"/>
          </w:tcPr>
          <w:p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3</w:t>
            </w:r>
          </w:p>
        </w:tc>
        <w:tc>
          <w:tcPr>
            <w:tcW w:w="5932" w:type="dxa"/>
          </w:tcPr>
          <w:p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修正后的临床研究方案（如适用，注明版本号与日期）</w:t>
            </w:r>
          </w:p>
        </w:tc>
        <w:tc>
          <w:tcPr>
            <w:tcW w:w="46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7" w:type="dxa"/>
            <w:vAlign w:val="center"/>
          </w:tcPr>
          <w:p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4</w:t>
            </w:r>
          </w:p>
        </w:tc>
        <w:tc>
          <w:tcPr>
            <w:tcW w:w="5932" w:type="dxa"/>
          </w:tcPr>
          <w:p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修正后的知情同意书（如适用，注明版本号与日期）</w:t>
            </w:r>
          </w:p>
        </w:tc>
        <w:tc>
          <w:tcPr>
            <w:tcW w:w="46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7" w:type="dxa"/>
            <w:vAlign w:val="center"/>
          </w:tcPr>
          <w:p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5</w:t>
            </w:r>
          </w:p>
        </w:tc>
        <w:tc>
          <w:tcPr>
            <w:tcW w:w="5932" w:type="dxa"/>
          </w:tcPr>
          <w:p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修正后的招募</w:t>
            </w:r>
            <w:r>
              <w:rPr>
                <w:rFonts w:hint="eastAsia" w:eastAsia="仿宋" w:cs="仿宋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eastAsia="仿宋" w:cs="仿宋"/>
                <w:sz w:val="24"/>
                <w:szCs w:val="24"/>
              </w:rPr>
              <w:t>材料（如适用，注明版本号与日期）</w:t>
            </w:r>
          </w:p>
        </w:tc>
        <w:tc>
          <w:tcPr>
            <w:tcW w:w="46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57" w:type="dxa"/>
            <w:vAlign w:val="center"/>
          </w:tcPr>
          <w:p>
            <w:pPr>
              <w:spacing w:line="360" w:lineRule="auto"/>
              <w:jc w:val="center"/>
              <w:rPr>
                <w:rFonts w:eastAsia="仿宋" w:cs="仿宋"/>
                <w:sz w:val="24"/>
                <w:szCs w:val="24"/>
              </w:rPr>
            </w:pPr>
            <w:r>
              <w:rPr>
                <w:rFonts w:eastAsia="仿宋" w:cs="仿宋"/>
                <w:sz w:val="24"/>
                <w:szCs w:val="24"/>
              </w:rPr>
              <w:t>6</w:t>
            </w:r>
          </w:p>
        </w:tc>
        <w:tc>
          <w:tcPr>
            <w:tcW w:w="5932" w:type="dxa"/>
          </w:tcPr>
          <w:p>
            <w:pPr>
              <w:spacing w:line="360" w:lineRule="auto"/>
              <w:rPr>
                <w:rFonts w:eastAsia="仿宋" w:cs="仿宋"/>
                <w:sz w:val="24"/>
                <w:szCs w:val="24"/>
              </w:rPr>
            </w:pPr>
            <w:r>
              <w:rPr>
                <w:rFonts w:hint="eastAsia" w:eastAsia="仿宋" w:cs="仿宋"/>
                <w:sz w:val="24"/>
                <w:szCs w:val="24"/>
              </w:rPr>
              <w:t>其它材料</w:t>
            </w:r>
          </w:p>
        </w:tc>
        <w:tc>
          <w:tcPr>
            <w:tcW w:w="46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485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  <w:tc>
          <w:tcPr>
            <w:tcW w:w="979" w:type="dxa"/>
          </w:tcPr>
          <w:p>
            <w:pPr>
              <w:spacing w:line="360" w:lineRule="auto"/>
              <w:rPr>
                <w:rFonts w:eastAsia="仿宋" w:cs="仿宋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>
      <w:pPr>
        <w:jc w:val="center"/>
      </w:pPr>
    </w:p>
    <w:sectPr>
      <w:headerReference r:id="rId5" w:type="default"/>
      <w:footerReference r:id="rId6" w:type="default"/>
      <w:pgSz w:w="11906" w:h="16838"/>
      <w:pgMar w:top="1440" w:right="17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微软雅黑" w:hAnsi="微软雅黑" w:eastAsia="微软雅黑"/>
        <w:sz w:val="18"/>
        <w:szCs w:val="18"/>
      </w:rPr>
    </w:pPr>
    <w:r>
      <w:rPr>
        <w:rFonts w:hint="eastAsia" w:ascii="华文仿宋" w:hAnsi="华文仿宋" w:eastAsia="华文仿宋" w:cs="华文仿宋"/>
        <w:sz w:val="18"/>
        <w:szCs w:val="18"/>
      </w:rPr>
      <w:t>临床试验伦理审查委员会地址：</w:t>
    </w:r>
    <w:bookmarkStart w:id="0" w:name="_Hlk140087310"/>
    <w:r>
      <w:rPr>
        <w:rFonts w:hint="eastAsia" w:ascii="华文仿宋" w:hAnsi="华文仿宋" w:eastAsia="华文仿宋" w:cs="华文仿宋"/>
        <w:sz w:val="18"/>
        <w:szCs w:val="18"/>
      </w:rPr>
      <w:t>潍坊市高新区樱前街9000号 阳光融和医院</w:t>
    </w:r>
    <w:bookmarkEnd w:id="0"/>
  </w:p>
  <w:p>
    <w:pPr>
      <w:pStyle w:val="3"/>
      <w:pBdr>
        <w:bottom w:val="single" w:color="auto" w:sz="4" w:space="0"/>
      </w:pBdr>
      <w:ind w:firstLine="360" w:firstLineChars="200"/>
      <w:jc w:val="both"/>
      <w:rPr>
        <w:rFonts w:ascii="华文仿宋" w:hAnsi="华文仿宋" w:eastAsia="华文仿宋" w:cs="华文仿宋"/>
      </w:rPr>
    </w:pPr>
    <w:r>
      <w:rPr>
        <w:rFonts w:hint="eastAsia" w:ascii="华文仿宋" w:hAnsi="华文仿宋" w:eastAsia="华文仿宋" w:cs="华文仿宋"/>
      </w:rPr>
      <w:t>联系人：</w:t>
    </w:r>
    <w:r>
      <w:rPr>
        <w:rFonts w:hint="eastAsia" w:ascii="华文仿宋" w:hAnsi="华文仿宋" w:eastAsia="华文仿宋" w:cs="华文仿宋"/>
        <w:lang w:eastAsia="zh-CN"/>
      </w:rPr>
      <w:t>隋凤容</w:t>
    </w:r>
    <w:r>
      <w:rPr>
        <w:rFonts w:hint="eastAsia" w:ascii="华文仿宋" w:hAnsi="华文仿宋" w:eastAsia="华文仿宋" w:cs="华文仿宋"/>
      </w:rPr>
      <w:t xml:space="preserve">                                                     联系方式：</w:t>
    </w:r>
    <w:r>
      <w:rPr>
        <w:rFonts w:ascii="华文仿宋" w:hAnsi="华文仿宋" w:eastAsia="华文仿宋" w:cs="华文仿宋"/>
      </w:rPr>
      <w:t>0536</w:t>
    </w:r>
    <w:r>
      <w:rPr>
        <w:rFonts w:hint="eastAsia" w:ascii="华文仿宋" w:hAnsi="华文仿宋" w:eastAsia="华文仿宋" w:cs="华文仿宋"/>
      </w:rPr>
      <w:t>-5039381</w:t>
    </w:r>
  </w:p>
  <w:p>
    <w:pPr>
      <w:pStyle w:val="3"/>
      <w:jc w:val="center"/>
    </w:pPr>
    <w:r>
      <w:rPr>
        <w:rFonts w:hint="eastAsia" w:ascii="华文仿宋" w:hAnsi="华文仿宋" w:eastAsia="华文仿宋" w:cs="华文仿宋"/>
        <w:kern w:val="0"/>
        <w:szCs w:val="21"/>
      </w:rPr>
      <w:t xml:space="preserve">第 </w:t>
    </w:r>
    <w:r>
      <w:rPr>
        <w:rFonts w:hint="eastAsia" w:ascii="华文仿宋" w:hAnsi="华文仿宋" w:eastAsia="华文仿宋" w:cs="华文仿宋"/>
        <w:kern w:val="0"/>
        <w:szCs w:val="21"/>
      </w:rPr>
      <w:fldChar w:fldCharType="begin"/>
    </w:r>
    <w:r>
      <w:rPr>
        <w:rFonts w:hint="eastAsia" w:ascii="华文仿宋" w:hAnsi="华文仿宋" w:eastAsia="华文仿宋" w:cs="华文仿宋"/>
        <w:kern w:val="0"/>
        <w:szCs w:val="21"/>
      </w:rPr>
      <w:instrText xml:space="preserve"> PAGE </w:instrText>
    </w:r>
    <w:r>
      <w:rPr>
        <w:rFonts w:hint="eastAsia" w:ascii="华文仿宋" w:hAnsi="华文仿宋" w:eastAsia="华文仿宋" w:cs="华文仿宋"/>
        <w:kern w:val="0"/>
        <w:szCs w:val="21"/>
      </w:rPr>
      <w:fldChar w:fldCharType="separate"/>
    </w:r>
    <w:r>
      <w:rPr>
        <w:rFonts w:ascii="华文仿宋" w:hAnsi="华文仿宋" w:eastAsia="华文仿宋" w:cs="华文仿宋"/>
        <w:kern w:val="0"/>
        <w:szCs w:val="21"/>
      </w:rPr>
      <w:t>1</w:t>
    </w:r>
    <w:r>
      <w:rPr>
        <w:rFonts w:hint="eastAsia" w:ascii="华文仿宋" w:hAnsi="华文仿宋" w:eastAsia="华文仿宋" w:cs="华文仿宋"/>
        <w:kern w:val="0"/>
        <w:szCs w:val="21"/>
      </w:rPr>
      <w:fldChar w:fldCharType="end"/>
    </w:r>
    <w:r>
      <w:rPr>
        <w:rFonts w:hint="eastAsia" w:ascii="华文仿宋" w:hAnsi="华文仿宋" w:eastAsia="华文仿宋" w:cs="华文仿宋"/>
        <w:kern w:val="0"/>
        <w:szCs w:val="21"/>
      </w:rPr>
      <w:t xml:space="preserve"> 页 / 共 </w:t>
    </w:r>
    <w:r>
      <w:rPr>
        <w:rFonts w:hint="eastAsia" w:ascii="华文仿宋" w:hAnsi="华文仿宋" w:eastAsia="华文仿宋" w:cs="华文仿宋"/>
        <w:kern w:val="0"/>
        <w:szCs w:val="21"/>
      </w:rPr>
      <w:fldChar w:fldCharType="begin"/>
    </w:r>
    <w:r>
      <w:rPr>
        <w:rFonts w:hint="eastAsia" w:ascii="华文仿宋" w:hAnsi="华文仿宋" w:eastAsia="华文仿宋" w:cs="华文仿宋"/>
        <w:kern w:val="0"/>
        <w:szCs w:val="21"/>
      </w:rPr>
      <w:instrText xml:space="preserve"> NUMPAGES </w:instrText>
    </w:r>
    <w:r>
      <w:rPr>
        <w:rFonts w:hint="eastAsia" w:ascii="华文仿宋" w:hAnsi="华文仿宋" w:eastAsia="华文仿宋" w:cs="华文仿宋"/>
        <w:kern w:val="0"/>
        <w:szCs w:val="21"/>
      </w:rPr>
      <w:fldChar w:fldCharType="separate"/>
    </w:r>
    <w:r>
      <w:rPr>
        <w:rFonts w:ascii="华文仿宋" w:hAnsi="华文仿宋" w:eastAsia="华文仿宋" w:cs="华文仿宋"/>
        <w:kern w:val="0"/>
        <w:szCs w:val="21"/>
      </w:rPr>
      <w:t>2</w:t>
    </w:r>
    <w:r>
      <w:rPr>
        <w:rFonts w:hint="eastAsia" w:ascii="华文仿宋" w:hAnsi="华文仿宋" w:eastAsia="华文仿宋" w:cs="华文仿宋"/>
        <w:kern w:val="0"/>
        <w:szCs w:val="21"/>
      </w:rPr>
      <w:fldChar w:fldCharType="end"/>
    </w:r>
    <w:r>
      <w:rPr>
        <w:rFonts w:hint="eastAsia" w:ascii="华文仿宋" w:hAnsi="华文仿宋" w:eastAsia="华文仿宋" w:cs="华文仿宋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微软雅黑" w:hAnsi="微软雅黑" w:eastAsia="微软雅黑"/>
        <w:sz w:val="18"/>
        <w:szCs w:val="18"/>
      </w:rPr>
    </w:pPr>
    <w:r>
      <w:rPr>
        <w:rFonts w:hint="eastAsia" w:ascii="华文仿宋" w:hAnsi="华文仿宋" w:eastAsia="华文仿宋" w:cs="华文仿宋"/>
        <w:sz w:val="18"/>
        <w:szCs w:val="18"/>
      </w:rPr>
      <w:t>临床试验伦理审查委员会地址：潍坊市高新区樱前街9000号 阳光融和医院</w:t>
    </w:r>
  </w:p>
  <w:p>
    <w:pPr>
      <w:pStyle w:val="3"/>
      <w:pBdr>
        <w:bottom w:val="single" w:color="auto" w:sz="4" w:space="0"/>
      </w:pBdr>
      <w:ind w:firstLine="360" w:firstLineChars="200"/>
      <w:jc w:val="both"/>
      <w:rPr>
        <w:rFonts w:ascii="华文仿宋" w:hAnsi="华文仿宋" w:eastAsia="华文仿宋" w:cs="华文仿宋"/>
      </w:rPr>
    </w:pPr>
    <w:r>
      <w:rPr>
        <w:rFonts w:hint="eastAsia" w:ascii="华文仿宋" w:hAnsi="华文仿宋" w:eastAsia="华文仿宋" w:cs="华文仿宋"/>
      </w:rPr>
      <w:t>联系人：</w:t>
    </w:r>
    <w:r>
      <w:rPr>
        <w:rFonts w:hint="eastAsia" w:ascii="华文仿宋" w:hAnsi="华文仿宋" w:eastAsia="华文仿宋" w:cs="华文仿宋"/>
        <w:lang w:eastAsia="zh-CN"/>
      </w:rPr>
      <w:t>隋凤容</w:t>
    </w:r>
    <w:r>
      <w:rPr>
        <w:rFonts w:hint="eastAsia" w:ascii="华文仿宋" w:hAnsi="华文仿宋" w:eastAsia="华文仿宋" w:cs="华文仿宋"/>
      </w:rPr>
      <w:t xml:space="preserve">                                                     联系方式：</w:t>
    </w:r>
    <w:r>
      <w:rPr>
        <w:rFonts w:ascii="华文仿宋" w:hAnsi="华文仿宋" w:eastAsia="华文仿宋" w:cs="华文仿宋"/>
      </w:rPr>
      <w:t>0536</w:t>
    </w:r>
    <w:r>
      <w:rPr>
        <w:rFonts w:hint="eastAsia" w:ascii="华文仿宋" w:hAnsi="华文仿宋" w:eastAsia="华文仿宋" w:cs="华文仿宋"/>
      </w:rPr>
      <w:t>-</w:t>
    </w:r>
  </w:p>
  <w:p>
    <w:pPr>
      <w:pStyle w:val="3"/>
      <w:jc w:val="center"/>
    </w:pPr>
    <w:r>
      <w:rPr>
        <w:rFonts w:hint="eastAsia" w:ascii="华文仿宋" w:hAnsi="华文仿宋" w:eastAsia="华文仿宋" w:cs="华文仿宋"/>
        <w:kern w:val="0"/>
        <w:szCs w:val="21"/>
      </w:rPr>
      <w:t xml:space="preserve">第 </w:t>
    </w:r>
    <w:r>
      <w:rPr>
        <w:rFonts w:hint="eastAsia" w:ascii="华文仿宋" w:hAnsi="华文仿宋" w:eastAsia="华文仿宋" w:cs="华文仿宋"/>
        <w:kern w:val="0"/>
        <w:szCs w:val="21"/>
      </w:rPr>
      <w:fldChar w:fldCharType="begin"/>
    </w:r>
    <w:r>
      <w:rPr>
        <w:rFonts w:hint="eastAsia" w:ascii="华文仿宋" w:hAnsi="华文仿宋" w:eastAsia="华文仿宋" w:cs="华文仿宋"/>
        <w:kern w:val="0"/>
        <w:szCs w:val="21"/>
      </w:rPr>
      <w:instrText xml:space="preserve"> PAGE </w:instrText>
    </w:r>
    <w:r>
      <w:rPr>
        <w:rFonts w:hint="eastAsia" w:ascii="华文仿宋" w:hAnsi="华文仿宋" w:eastAsia="华文仿宋" w:cs="华文仿宋"/>
        <w:kern w:val="0"/>
        <w:szCs w:val="21"/>
      </w:rPr>
      <w:fldChar w:fldCharType="separate"/>
    </w:r>
    <w:r>
      <w:rPr>
        <w:rFonts w:ascii="华文仿宋" w:hAnsi="华文仿宋" w:eastAsia="华文仿宋" w:cs="华文仿宋"/>
        <w:kern w:val="0"/>
        <w:szCs w:val="21"/>
      </w:rPr>
      <w:t>2</w:t>
    </w:r>
    <w:r>
      <w:rPr>
        <w:rFonts w:hint="eastAsia" w:ascii="华文仿宋" w:hAnsi="华文仿宋" w:eastAsia="华文仿宋" w:cs="华文仿宋"/>
        <w:kern w:val="0"/>
        <w:szCs w:val="21"/>
      </w:rPr>
      <w:fldChar w:fldCharType="end"/>
    </w:r>
    <w:r>
      <w:rPr>
        <w:rFonts w:hint="eastAsia" w:ascii="华文仿宋" w:hAnsi="华文仿宋" w:eastAsia="华文仿宋" w:cs="华文仿宋"/>
        <w:kern w:val="0"/>
        <w:szCs w:val="21"/>
      </w:rPr>
      <w:t xml:space="preserve"> 页 / 共 </w:t>
    </w:r>
    <w:r>
      <w:rPr>
        <w:rFonts w:hint="eastAsia" w:ascii="华文仿宋" w:hAnsi="华文仿宋" w:eastAsia="华文仿宋" w:cs="华文仿宋"/>
        <w:kern w:val="0"/>
        <w:szCs w:val="21"/>
      </w:rPr>
      <w:fldChar w:fldCharType="begin"/>
    </w:r>
    <w:r>
      <w:rPr>
        <w:rFonts w:hint="eastAsia" w:ascii="华文仿宋" w:hAnsi="华文仿宋" w:eastAsia="华文仿宋" w:cs="华文仿宋"/>
        <w:kern w:val="0"/>
        <w:szCs w:val="21"/>
      </w:rPr>
      <w:instrText xml:space="preserve"> NUMPAGES </w:instrText>
    </w:r>
    <w:r>
      <w:rPr>
        <w:rFonts w:hint="eastAsia" w:ascii="华文仿宋" w:hAnsi="华文仿宋" w:eastAsia="华文仿宋" w:cs="华文仿宋"/>
        <w:kern w:val="0"/>
        <w:szCs w:val="21"/>
      </w:rPr>
      <w:fldChar w:fldCharType="separate"/>
    </w:r>
    <w:r>
      <w:rPr>
        <w:rFonts w:ascii="华文仿宋" w:hAnsi="华文仿宋" w:eastAsia="华文仿宋" w:cs="华文仿宋"/>
        <w:kern w:val="0"/>
        <w:szCs w:val="21"/>
      </w:rPr>
      <w:t>2</w:t>
    </w:r>
    <w:r>
      <w:rPr>
        <w:rFonts w:hint="eastAsia" w:ascii="华文仿宋" w:hAnsi="华文仿宋" w:eastAsia="华文仿宋" w:cs="华文仿宋"/>
        <w:kern w:val="0"/>
        <w:szCs w:val="21"/>
      </w:rPr>
      <w:fldChar w:fldCharType="end"/>
    </w:r>
    <w:r>
      <w:rPr>
        <w:rFonts w:hint="eastAsia" w:ascii="华文仿宋" w:hAnsi="华文仿宋" w:eastAsia="华文仿宋" w:cs="华文仿宋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华文仿宋" w:hAnsi="华文仿宋" w:eastAsia="华文仿宋" w:cs="华文仿宋"/>
      </w:rPr>
      <w:t xml:space="preserve">阳光融和医院 </w:t>
    </w:r>
    <w:r>
      <w:rPr>
        <w:rFonts w:ascii="华文仿宋" w:hAnsi="华文仿宋" w:eastAsia="华文仿宋" w:cs="华文仿宋"/>
      </w:rPr>
      <w:t xml:space="preserve"> </w:t>
    </w:r>
    <w:r>
      <w:rPr>
        <w:rFonts w:hint="eastAsia" w:ascii="华文仿宋" w:hAnsi="华文仿宋" w:eastAsia="华文仿宋" w:cs="华文仿宋"/>
      </w:rPr>
      <w:t xml:space="preserve">临床试验伦理审查委员会                           </w:t>
    </w:r>
    <w:r>
      <w:rPr>
        <w:rFonts w:ascii="华文仿宋" w:hAnsi="华文仿宋" w:eastAsia="华文仿宋" w:cs="华文仿宋"/>
      </w:rPr>
      <w:t xml:space="preserve">            </w:t>
    </w:r>
    <w:r>
      <w:rPr>
        <w:rFonts w:hint="eastAsia" w:ascii="仿宋" w:hAnsi="仿宋" w:eastAsia="仿宋"/>
      </w:rPr>
      <w:t>文件编号：</w:t>
    </w:r>
    <w:r>
      <w:rPr>
        <w:rFonts w:hint="eastAsia" w:ascii="华文仿宋" w:hAnsi="华文仿宋" w:eastAsia="华文仿宋" w:cs="华文仿宋"/>
      </w:rPr>
      <w:t xml:space="preserve"> </w:t>
    </w:r>
    <w:r>
      <w:rPr>
        <w:rFonts w:ascii="Times New Roman" w:hAnsi="Times New Roman" w:cs="Times New Roman"/>
      </w:rPr>
      <w:t>IEC-AF</w:t>
    </w:r>
    <w:r>
      <w:rPr>
        <w:rFonts w:hint="eastAsia" w:ascii="Times New Roman" w:hAnsi="Times New Roman" w:cs="Times New Roman"/>
      </w:rPr>
      <w:t>-</w:t>
    </w:r>
    <w:r>
      <w:rPr>
        <w:rFonts w:ascii="Times New Roman" w:hAnsi="Times New Roman" w:cs="Times New Roman"/>
      </w:rPr>
      <w:t>011-</w:t>
    </w:r>
    <w:r>
      <w:rPr>
        <w:rFonts w:hint="eastAsia" w:ascii="Times New Roman" w:hAnsi="Times New Roman" w:cs="Times New Roman"/>
        <w:lang w:val="en-US" w:eastAsia="zh-CN"/>
      </w:rPr>
      <w:t>2</w:t>
    </w:r>
    <w:r>
      <w:rPr>
        <w:rFonts w:ascii="Times New Roman" w:hAnsi="Times New Roman" w:cs="Times New Roman"/>
      </w:rPr>
      <w:t>.0</w:t>
    </w:r>
  </w:p>
  <w:p>
    <w:pPr>
      <w:pStyle w:val="4"/>
      <w:pBdr>
        <w:bottom w:val="none" w:color="auto" w:sz="0" w:space="1"/>
      </w:pBdr>
      <w:jc w:val="both"/>
    </w:pPr>
  </w:p>
  <w:p>
    <w:pPr>
      <w:pStyle w:val="4"/>
      <w:pBdr>
        <w:bottom w:val="none" w:color="auto" w:sz="0" w:space="1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华文仿宋" w:hAnsi="华文仿宋" w:eastAsia="华文仿宋" w:cs="华文仿宋"/>
      </w:rPr>
      <w:t xml:space="preserve">阳光融和医院  临床试验伦理审查委员会                   </w:t>
    </w:r>
    <w:r>
      <w:rPr>
        <w:rFonts w:ascii="华文仿宋" w:hAnsi="华文仿宋" w:eastAsia="华文仿宋" w:cs="华文仿宋"/>
      </w:rPr>
      <w:t xml:space="preserve">              </w:t>
    </w:r>
    <w:r>
      <w:rPr>
        <w:rFonts w:hint="eastAsia" w:ascii="华文仿宋" w:hAnsi="华文仿宋" w:eastAsia="华文仿宋" w:cs="华文仿宋"/>
      </w:rPr>
      <w:t xml:space="preserve">       </w:t>
    </w:r>
    <w:r>
      <w:rPr>
        <w:rFonts w:ascii="Times New Roman" w:hAnsi="Times New Roman" w:cs="Times New Roman"/>
      </w:rPr>
      <w:t>IEC-AF</w:t>
    </w:r>
    <w:r>
      <w:rPr>
        <w:rFonts w:hint="eastAsia" w:ascii="Times New Roman" w:hAnsi="Times New Roman" w:cs="Times New Roman"/>
      </w:rPr>
      <w:t>-</w:t>
    </w:r>
    <w:r>
      <w:rPr>
        <w:rFonts w:ascii="Times New Roman" w:hAnsi="Times New Roman" w:cs="Times New Roman"/>
      </w:rPr>
      <w:t>011-1.0</w:t>
    </w:r>
  </w:p>
  <w:p>
    <w:pPr>
      <w:pStyle w:val="4"/>
      <w:pBdr>
        <w:bottom w:val="none" w:color="auto" w:sz="0" w:space="1"/>
      </w:pBdr>
      <w:jc w:val="both"/>
    </w:pPr>
  </w:p>
  <w:p>
    <w:pPr>
      <w:pStyle w:val="4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8F5E30"/>
    <w:rsid w:val="00004D57"/>
    <w:rsid w:val="00054970"/>
    <w:rsid w:val="00147644"/>
    <w:rsid w:val="0015186E"/>
    <w:rsid w:val="001D70D4"/>
    <w:rsid w:val="00225A89"/>
    <w:rsid w:val="002565BA"/>
    <w:rsid w:val="00263243"/>
    <w:rsid w:val="00286DE6"/>
    <w:rsid w:val="002C38A2"/>
    <w:rsid w:val="002D72DD"/>
    <w:rsid w:val="002E0DDC"/>
    <w:rsid w:val="00364E34"/>
    <w:rsid w:val="003A5D29"/>
    <w:rsid w:val="004000D3"/>
    <w:rsid w:val="0042235A"/>
    <w:rsid w:val="00425F01"/>
    <w:rsid w:val="00437509"/>
    <w:rsid w:val="004518C0"/>
    <w:rsid w:val="00496C16"/>
    <w:rsid w:val="004C0E29"/>
    <w:rsid w:val="005241A1"/>
    <w:rsid w:val="00535CB6"/>
    <w:rsid w:val="005427D1"/>
    <w:rsid w:val="00583B66"/>
    <w:rsid w:val="005A4D49"/>
    <w:rsid w:val="005A5015"/>
    <w:rsid w:val="005C273A"/>
    <w:rsid w:val="00605A1B"/>
    <w:rsid w:val="00636FC8"/>
    <w:rsid w:val="006846A8"/>
    <w:rsid w:val="006C0CCB"/>
    <w:rsid w:val="006C6958"/>
    <w:rsid w:val="006D2C34"/>
    <w:rsid w:val="006E237C"/>
    <w:rsid w:val="007766B6"/>
    <w:rsid w:val="007E08EB"/>
    <w:rsid w:val="007E0BF5"/>
    <w:rsid w:val="00850858"/>
    <w:rsid w:val="00883851"/>
    <w:rsid w:val="008F5E30"/>
    <w:rsid w:val="00917130"/>
    <w:rsid w:val="00921375"/>
    <w:rsid w:val="009447AE"/>
    <w:rsid w:val="00965FF4"/>
    <w:rsid w:val="00990279"/>
    <w:rsid w:val="009A2827"/>
    <w:rsid w:val="009D0513"/>
    <w:rsid w:val="009F4F52"/>
    <w:rsid w:val="00A43EE5"/>
    <w:rsid w:val="00AB33B9"/>
    <w:rsid w:val="00B10BDE"/>
    <w:rsid w:val="00B221B7"/>
    <w:rsid w:val="00B40A08"/>
    <w:rsid w:val="00B76821"/>
    <w:rsid w:val="00B80BCA"/>
    <w:rsid w:val="00B849F4"/>
    <w:rsid w:val="00BE767A"/>
    <w:rsid w:val="00C25EA7"/>
    <w:rsid w:val="00D227CE"/>
    <w:rsid w:val="00D23BCA"/>
    <w:rsid w:val="00D32867"/>
    <w:rsid w:val="00D752F3"/>
    <w:rsid w:val="00D77553"/>
    <w:rsid w:val="00D83E0F"/>
    <w:rsid w:val="00DE2F54"/>
    <w:rsid w:val="00DF398D"/>
    <w:rsid w:val="00DF55C6"/>
    <w:rsid w:val="00E23182"/>
    <w:rsid w:val="00E248BC"/>
    <w:rsid w:val="00E31A77"/>
    <w:rsid w:val="00EB00A4"/>
    <w:rsid w:val="00EC7F00"/>
    <w:rsid w:val="00F05235"/>
    <w:rsid w:val="00F10B90"/>
    <w:rsid w:val="00F118D2"/>
    <w:rsid w:val="00F1448D"/>
    <w:rsid w:val="00FE101B"/>
    <w:rsid w:val="00FE6568"/>
    <w:rsid w:val="00FF59EA"/>
    <w:rsid w:val="032D3A42"/>
    <w:rsid w:val="0DCC013B"/>
    <w:rsid w:val="11694AFA"/>
    <w:rsid w:val="12DB5F83"/>
    <w:rsid w:val="20B63BF5"/>
    <w:rsid w:val="2A9E5202"/>
    <w:rsid w:val="576145E8"/>
    <w:rsid w:val="5EEF234B"/>
    <w:rsid w:val="635878C8"/>
    <w:rsid w:val="69760313"/>
    <w:rsid w:val="7D18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widowControl/>
      <w:spacing w:before="260" w:after="260" w:line="413" w:lineRule="auto"/>
      <w:jc w:val="left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0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0"/>
    <w:rPr>
      <w:rFonts w:ascii="Arial" w:hAnsi="Arial" w:eastAsia="黑体" w:cs="Times New Roman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403</Words>
  <Characters>405</Characters>
  <Lines>4</Lines>
  <Paragraphs>1</Paragraphs>
  <TotalTime>1</TotalTime>
  <ScaleCrop>false</ScaleCrop>
  <LinksUpToDate>false</LinksUpToDate>
  <CharactersWithSpaces>440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2015-03-20T15:16:00Z</dcterms:created>
  <dc:creator>User</dc:creator>
  <cp:lastModifiedBy>lenovo</cp:lastModifiedBy>
  <cp:lastPrinted>2025-05-12T02:57:05Z</cp:lastPrinted>
  <dcterms:modified xsi:type="dcterms:W3CDTF">2025-05-12T02:57:11Z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C61179AFE07541049F9FC36438498009</vt:lpwstr>
  </property>
</Properties>
</file>